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528.065"/>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«Правовое обеспечение в государственном  и муниципальном управлении», утв. приказом ректора ОмГА от 27.03.2023 № 51.</w:t>
            </w:r>
          </w:p>
        </w:tc>
      </w:tr>
      <w:tr>
        <w:trPr>
          <w:trHeight w:hRule="exact" w:val="138.915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211.68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Управление государственными и муниципальными закупками</w:t>
            </w:r>
          </w:p>
          <w:p>
            <w:pPr>
              <w:jc w:val="center"/>
              <w:spacing w:after="0" w:line="240" w:lineRule="auto"/>
              <w:rPr>
                <w:sz w:val="32"/>
                <w:szCs w:val="32"/>
              </w:rPr>
            </w:pPr>
            <w:r>
              <w:rPr>
                <w:rFonts w:ascii="Times New Roman" w:hAnsi="Times New Roman" w:cs="Times New Roman"/>
                <w:color w:val="#000000"/>
                <w:sz w:val="32"/>
                <w:szCs w:val="32"/>
              </w:rPr>
              <w:t> Б1.О.04.14</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«Правовое обеспечение в государственном  и муниципальном управлении»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43"/>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 информационно-методический, контрольно- надзорный</w:t>
            </w:r>
          </w:p>
        </w:tc>
      </w:tr>
      <w:tr>
        <w:trPr>
          <w:trHeight w:hRule="exact" w:val="1118.522"/>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976.64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/Кузнецова Е.К./</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«Правовое обеспечение в государственном  и муниципальном управлении»;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«Управление государственными и муниципальными закупками»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заочная форма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Б1.О.04.14 «Управление государственными и муниципальными закупками».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«Управление государственными и муниципальными закупками»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ОПК-6</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в профессиональной деятельности технологии управления государственными и муниципальными финансами, государственным и муниципальным имуществом, закупками для государственных и муниципальных нужд</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ОПК-6.2 знать технологии управления закупок для обеспечения государственных и муниципальных нужд, общие принципы контрактной системы в сфере закупок товаров, работ, услуг для обеспечения государственных и муниципальных нужд</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ОПК-6.3 уметь использовать в профессиональной деятельности технологии управления закупок для обеспечения государственных и муниципальных нужд, общие принципы контрактной системы в сфере закупок товаров, работ, услуг для обеспечения государственных и муниципальных нужд</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ОПК-6.6 владеть навыками использования в профессиональной деятельности технологий управления закупок для обеспечения государственных и муниципальных нужд, общие принципы контрактной системы в сфере закупок товаров, работ, услуг для обеспечения государственных и муниципальных нужд</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принципы и методы поиска, анализа и синтеза информации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принципы и методы системного подхода, социологических исследований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анализировать задачу, выделяя ее базовые составляющие, определять, интерпретировать и ранжировать информацию, требуемую для решения поставленной задачи применять принципы и методы поиска, анализа и синтеза информации, социологических исследований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осуществлять поиск информации для решения поставленной задачи по различным типам запросов</w:t>
            </w:r>
          </w:p>
        </w:tc>
      </w:tr>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практическими навыками поиска, анализа и синтеза информации</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Б1.О.04.14 «Управление государственными и муниципальными закупками»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7"/>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558.49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Принятие и исполнение государственных решений</w:t>
            </w:r>
          </w:p>
          <w:p>
            <w:pPr>
              <w:jc w:val="center"/>
              <w:spacing w:after="0" w:line="240" w:lineRule="auto"/>
              <w:rPr>
                <w:sz w:val="22"/>
                <w:szCs w:val="22"/>
              </w:rPr>
            </w:pPr>
            <w:r>
              <w:rPr>
                <w:rFonts w:ascii="Times New Roman" w:hAnsi="Times New Roman" w:cs="Times New Roman"/>
                <w:color w:val="#000000"/>
                <w:sz w:val="22"/>
                <w:szCs w:val="22"/>
              </w:rPr>
              <w:t> Управление государственной и муниципальной собственностью</w:t>
            </w:r>
          </w:p>
          <w:p>
            <w:pPr>
              <w:jc w:val="center"/>
              <w:spacing w:after="0" w:line="240" w:lineRule="auto"/>
              <w:rPr>
                <w:sz w:val="22"/>
                <w:szCs w:val="22"/>
              </w:rPr>
            </w:pPr>
            <w:r>
              <w:rPr>
                <w:rFonts w:ascii="Times New Roman" w:hAnsi="Times New Roman" w:cs="Times New Roman"/>
                <w:color w:val="#000000"/>
                <w:sz w:val="22"/>
                <w:szCs w:val="22"/>
              </w:rPr>
              <w:t> Государственные и муниципальные финансы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Финансово-экономические основы государственного и муниципального управления</w:t>
            </w:r>
          </w:p>
          <w:p>
            <w:pPr>
              <w:jc w:val="center"/>
              <w:spacing w:after="0" w:line="240" w:lineRule="auto"/>
              <w:rPr>
                <w:sz w:val="22"/>
                <w:szCs w:val="22"/>
              </w:rPr>
            </w:pPr>
            <w:r>
              <w:rPr>
                <w:rFonts w:ascii="Times New Roman" w:hAnsi="Times New Roman" w:cs="Times New Roman"/>
                <w:color w:val="#000000"/>
                <w:sz w:val="22"/>
                <w:szCs w:val="22"/>
              </w:rPr>
              <w:t> Служебная этика и антикоррупционные стандарты поведения в государственной гражданской и муниципальной службе</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ОПК-6, УК-1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89"/>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6 зачетных единиц – 216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185</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контрактной системы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Организационные, правовые и информационные аспекты осуществления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Методические указания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89</w:t>
            </w:r>
          </w:p>
        </w:tc>
      </w:tr>
      <w:tr>
        <w:trPr>
          <w:trHeight w:hRule="exact" w:val="304.585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Участники контрактной системы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законодательства РФ, регламентирующая</w:t>
            </w:r>
          </w:p>
          <w:p>
            <w:pPr>
              <w:jc w:val="left"/>
              <w:spacing w:after="0" w:line="240" w:lineRule="auto"/>
              <w:rPr>
                <w:sz w:val="24"/>
                <w:szCs w:val="24"/>
              </w:rPr>
            </w:pPr>
            <w:r>
              <w:rPr>
                <w:rFonts w:ascii="Times New Roman" w:hAnsi="Times New Roman" w:cs="Times New Roman"/>
                <w:color w:val="#000000"/>
                <w:sz w:val="24"/>
                <w:szCs w:val="24"/>
              </w:rPr>
              <w:t> государственные и муниципальные закупки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Планирование,обоснование и осуществление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Планирование, обоснование и</w:t>
            </w:r>
          </w:p>
          <w:p>
            <w:pPr>
              <w:jc w:val="left"/>
              <w:spacing w:after="0" w:line="240" w:lineRule="auto"/>
              <w:rPr>
                <w:sz w:val="24"/>
                <w:szCs w:val="24"/>
              </w:rPr>
            </w:pPr>
            <w:r>
              <w:rPr>
                <w:rFonts w:ascii="Times New Roman" w:hAnsi="Times New Roman" w:cs="Times New Roman"/>
                <w:color w:val="#000000"/>
                <w:sz w:val="24"/>
                <w:szCs w:val="24"/>
              </w:rPr>
              <w:t> нормирование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Осуществление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Контракты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Методические указания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Назначение начальной (максимальной) цены контракта, методы</w:t>
            </w:r>
          </w:p>
          <w:p>
            <w:pPr>
              <w:jc w:val="left"/>
              <w:spacing w:after="0" w:line="240" w:lineRule="auto"/>
              <w:rPr>
                <w:sz w:val="24"/>
                <w:szCs w:val="24"/>
              </w:rPr>
            </w:pPr>
            <w:r>
              <w:rPr>
                <w:rFonts w:ascii="Times New Roman" w:hAnsi="Times New Roman" w:cs="Times New Roman"/>
                <w:color w:val="#000000"/>
                <w:sz w:val="24"/>
                <w:szCs w:val="24"/>
              </w:rPr>
              <w:t> ее обоснования и определения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Способы определения поставщиков</w:t>
            </w:r>
          </w:p>
          <w:p>
            <w:pPr>
              <w:jc w:val="left"/>
              <w:spacing w:after="0" w:line="240" w:lineRule="auto"/>
              <w:rPr>
                <w:sz w:val="24"/>
                <w:szCs w:val="24"/>
              </w:rPr>
            </w:pPr>
            <w:r>
              <w:rPr>
                <w:rFonts w:ascii="Times New Roman" w:hAnsi="Times New Roman" w:cs="Times New Roman"/>
                <w:color w:val="#000000"/>
                <w:sz w:val="24"/>
                <w:szCs w:val="24"/>
              </w:rPr>
              <w:t> (подрядчиков, исполнителей)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14.57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отдельных видов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Порядок заключения, исполнения,</w:t>
            </w:r>
          </w:p>
          <w:p>
            <w:pPr>
              <w:jc w:val="left"/>
              <w:spacing w:after="0" w:line="240" w:lineRule="auto"/>
              <w:rPr>
                <w:sz w:val="24"/>
                <w:szCs w:val="24"/>
              </w:rPr>
            </w:pPr>
            <w:r>
              <w:rPr>
                <w:rFonts w:ascii="Times New Roman" w:hAnsi="Times New Roman" w:cs="Times New Roman"/>
                <w:color w:val="#000000"/>
                <w:sz w:val="24"/>
                <w:szCs w:val="24"/>
              </w:rPr>
              <w:t> изменения и расторжения контрактов.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Часы на контроль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216</w:t>
            </w:r>
          </w:p>
        </w:tc>
      </w:tr>
      <w:tr>
        <w:trPr>
          <w:trHeight w:hRule="exact" w:val="9495.61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452.31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Организационные, правовые и информационные аспекты осуществления закупок</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4612.4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Задачи и принципы контрактной системы.</w:t>
            </w:r>
          </w:p>
          <w:p>
            <w:pPr>
              <w:jc w:val="both"/>
              <w:spacing w:after="0" w:line="240" w:lineRule="auto"/>
              <w:rPr>
                <w:sz w:val="24"/>
                <w:szCs w:val="24"/>
              </w:rPr>
            </w:pPr>
            <w:r>
              <w:rPr>
                <w:rFonts w:ascii="Times New Roman" w:hAnsi="Times New Roman" w:cs="Times New Roman"/>
                <w:color w:val="#000000"/>
                <w:sz w:val="24"/>
                <w:szCs w:val="24"/>
              </w:rPr>
              <w:t> Участники контрактной системы, их права и</w:t>
            </w:r>
          </w:p>
          <w:p>
            <w:pPr>
              <w:jc w:val="both"/>
              <w:spacing w:after="0" w:line="240" w:lineRule="auto"/>
              <w:rPr>
                <w:sz w:val="24"/>
                <w:szCs w:val="24"/>
              </w:rPr>
            </w:pPr>
            <w:r>
              <w:rPr>
                <w:rFonts w:ascii="Times New Roman" w:hAnsi="Times New Roman" w:cs="Times New Roman"/>
                <w:color w:val="#000000"/>
                <w:sz w:val="24"/>
                <w:szCs w:val="24"/>
              </w:rPr>
              <w:t> обязанности.Информационное обеспечение контрактной</w:t>
            </w:r>
          </w:p>
          <w:p>
            <w:pPr>
              <w:jc w:val="both"/>
              <w:spacing w:after="0" w:line="240" w:lineRule="auto"/>
              <w:rPr>
                <w:sz w:val="24"/>
                <w:szCs w:val="24"/>
              </w:rPr>
            </w:pPr>
            <w:r>
              <w:rPr>
                <w:rFonts w:ascii="Times New Roman" w:hAnsi="Times New Roman" w:cs="Times New Roman"/>
                <w:color w:val="#000000"/>
                <w:sz w:val="24"/>
                <w:szCs w:val="24"/>
              </w:rPr>
              <w:t> системы в сфере закупок.</w:t>
            </w:r>
          </w:p>
          <w:p>
            <w:pPr>
              <w:jc w:val="both"/>
              <w:spacing w:after="0" w:line="240" w:lineRule="auto"/>
              <w:rPr>
                <w:sz w:val="24"/>
                <w:szCs w:val="24"/>
              </w:rPr>
            </w:pPr>
            <w:r>
              <w:rPr>
                <w:rFonts w:ascii="Times New Roman" w:hAnsi="Times New Roman" w:cs="Times New Roman"/>
                <w:color w:val="#000000"/>
                <w:sz w:val="24"/>
                <w:szCs w:val="24"/>
              </w:rPr>
              <w:t> Порядок организации электронного</w:t>
            </w:r>
          </w:p>
          <w:p>
            <w:pPr>
              <w:jc w:val="both"/>
              <w:spacing w:after="0" w:line="240" w:lineRule="auto"/>
              <w:rPr>
                <w:sz w:val="24"/>
                <w:szCs w:val="24"/>
              </w:rPr>
            </w:pPr>
            <w:r>
              <w:rPr>
                <w:rFonts w:ascii="Times New Roman" w:hAnsi="Times New Roman" w:cs="Times New Roman"/>
                <w:color w:val="#000000"/>
                <w:sz w:val="24"/>
                <w:szCs w:val="24"/>
              </w:rPr>
              <w:t> документооборота.Действующая российская нормативная</w:t>
            </w:r>
          </w:p>
          <w:p>
            <w:pPr>
              <w:jc w:val="both"/>
              <w:spacing w:after="0" w:line="240" w:lineRule="auto"/>
              <w:rPr>
                <w:sz w:val="24"/>
                <w:szCs w:val="24"/>
              </w:rPr>
            </w:pPr>
            <w:r>
              <w:rPr>
                <w:rFonts w:ascii="Times New Roman" w:hAnsi="Times New Roman" w:cs="Times New Roman"/>
                <w:color w:val="#000000"/>
                <w:sz w:val="24"/>
                <w:szCs w:val="24"/>
              </w:rPr>
              <w:t> правовая база, регламентирующая</w:t>
            </w:r>
          </w:p>
          <w:p>
            <w:pPr>
              <w:jc w:val="both"/>
              <w:spacing w:after="0" w:line="240" w:lineRule="auto"/>
              <w:rPr>
                <w:sz w:val="24"/>
                <w:szCs w:val="24"/>
              </w:rPr>
            </w:pPr>
            <w:r>
              <w:rPr>
                <w:rFonts w:ascii="Times New Roman" w:hAnsi="Times New Roman" w:cs="Times New Roman"/>
                <w:color w:val="#000000"/>
                <w:sz w:val="24"/>
                <w:szCs w:val="24"/>
              </w:rPr>
              <w:t> вопросы закупок товаров, работ,</w:t>
            </w:r>
          </w:p>
          <w:p>
            <w:pPr>
              <w:jc w:val="both"/>
              <w:spacing w:after="0" w:line="240" w:lineRule="auto"/>
              <w:rPr>
                <w:sz w:val="24"/>
                <w:szCs w:val="24"/>
              </w:rPr>
            </w:pPr>
            <w:r>
              <w:rPr>
                <w:rFonts w:ascii="Times New Roman" w:hAnsi="Times New Roman" w:cs="Times New Roman"/>
                <w:color w:val="#000000"/>
                <w:sz w:val="24"/>
                <w:szCs w:val="24"/>
              </w:rPr>
              <w:t> услуг для обеспечения государственных и</w:t>
            </w:r>
          </w:p>
          <w:p>
            <w:pPr>
              <w:jc w:val="both"/>
              <w:spacing w:after="0" w:line="240" w:lineRule="auto"/>
              <w:rPr>
                <w:sz w:val="24"/>
                <w:szCs w:val="24"/>
              </w:rPr>
            </w:pPr>
            <w:r>
              <w:rPr>
                <w:rFonts w:ascii="Times New Roman" w:hAnsi="Times New Roman" w:cs="Times New Roman"/>
                <w:color w:val="#000000"/>
                <w:sz w:val="24"/>
                <w:szCs w:val="24"/>
              </w:rPr>
              <w:t> муниципальных нужд. Нормативные</w:t>
            </w:r>
          </w:p>
          <w:p>
            <w:pPr>
              <w:jc w:val="both"/>
              <w:spacing w:after="0" w:line="240" w:lineRule="auto"/>
              <w:rPr>
                <w:sz w:val="24"/>
                <w:szCs w:val="24"/>
              </w:rPr>
            </w:pPr>
            <w:r>
              <w:rPr>
                <w:rFonts w:ascii="Times New Roman" w:hAnsi="Times New Roman" w:cs="Times New Roman"/>
                <w:color w:val="#000000"/>
                <w:sz w:val="24"/>
                <w:szCs w:val="24"/>
              </w:rPr>
              <w:t> правовые акты, принятые в развитие</w:t>
            </w:r>
          </w:p>
          <w:p>
            <w:pPr>
              <w:jc w:val="both"/>
              <w:spacing w:after="0" w:line="240" w:lineRule="auto"/>
              <w:rPr>
                <w:sz w:val="24"/>
                <w:szCs w:val="24"/>
              </w:rPr>
            </w:pPr>
            <w:r>
              <w:rPr>
                <w:rFonts w:ascii="Times New Roman" w:hAnsi="Times New Roman" w:cs="Times New Roman"/>
                <w:color w:val="#000000"/>
                <w:sz w:val="24"/>
                <w:szCs w:val="24"/>
              </w:rPr>
              <w:t> законодательства, регулирующего закупки</w:t>
            </w:r>
          </w:p>
          <w:p>
            <w:pPr>
              <w:jc w:val="both"/>
              <w:spacing w:after="0" w:line="240" w:lineRule="auto"/>
              <w:rPr>
                <w:sz w:val="24"/>
                <w:szCs w:val="24"/>
              </w:rPr>
            </w:pPr>
            <w:r>
              <w:rPr>
                <w:rFonts w:ascii="Times New Roman" w:hAnsi="Times New Roman" w:cs="Times New Roman"/>
                <w:color w:val="#000000"/>
                <w:sz w:val="24"/>
                <w:szCs w:val="24"/>
              </w:rPr>
              <w:t> товаров, работ, услуг для государственных</w:t>
            </w:r>
          </w:p>
          <w:p>
            <w:pPr>
              <w:jc w:val="both"/>
              <w:spacing w:after="0" w:line="240" w:lineRule="auto"/>
              <w:rPr>
                <w:sz w:val="24"/>
                <w:szCs w:val="24"/>
              </w:rPr>
            </w:pPr>
            <w:r>
              <w:rPr>
                <w:rFonts w:ascii="Times New Roman" w:hAnsi="Times New Roman" w:cs="Times New Roman"/>
                <w:color w:val="#000000"/>
                <w:sz w:val="24"/>
                <w:szCs w:val="24"/>
              </w:rPr>
              <w:t> и муниципальных нужд. Применение</w:t>
            </w:r>
          </w:p>
          <w:p>
            <w:pPr>
              <w:jc w:val="both"/>
              <w:spacing w:after="0" w:line="240" w:lineRule="auto"/>
              <w:rPr>
                <w:sz w:val="24"/>
                <w:szCs w:val="24"/>
              </w:rPr>
            </w:pPr>
            <w:r>
              <w:rPr>
                <w:rFonts w:ascii="Times New Roman" w:hAnsi="Times New Roman" w:cs="Times New Roman"/>
                <w:color w:val="#000000"/>
                <w:sz w:val="24"/>
                <w:szCs w:val="24"/>
              </w:rPr>
              <w:t> антимонопольного законодательства при</w:t>
            </w:r>
          </w:p>
          <w:p>
            <w:pPr>
              <w:jc w:val="both"/>
              <w:spacing w:after="0" w:line="240" w:lineRule="auto"/>
              <w:rPr>
                <w:sz w:val="24"/>
                <w:szCs w:val="24"/>
              </w:rPr>
            </w:pPr>
            <w:r>
              <w:rPr>
                <w:rFonts w:ascii="Times New Roman" w:hAnsi="Times New Roman" w:cs="Times New Roman"/>
                <w:color w:val="#000000"/>
                <w:sz w:val="24"/>
                <w:szCs w:val="24"/>
              </w:rPr>
              <w:t> осуществлении закупок товаров, работ и</w:t>
            </w:r>
          </w:p>
          <w:p>
            <w:pPr>
              <w:jc w:val="both"/>
              <w:spacing w:after="0" w:line="240" w:lineRule="auto"/>
              <w:rPr>
                <w:sz w:val="24"/>
                <w:szCs w:val="24"/>
              </w:rPr>
            </w:pPr>
            <w:r>
              <w:rPr>
                <w:rFonts w:ascii="Times New Roman" w:hAnsi="Times New Roman" w:cs="Times New Roman"/>
                <w:color w:val="#000000"/>
                <w:sz w:val="24"/>
                <w:szCs w:val="24"/>
              </w:rPr>
              <w:t> услуг.</w:t>
            </w:r>
          </w:p>
        </w:tc>
      </w:tr>
      <w:tr>
        <w:trPr>
          <w:trHeight w:hRule="exact" w:val="585.061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Планирование, обоснование и</w:t>
            </w:r>
          </w:p>
          <w:p>
            <w:pPr>
              <w:jc w:val="center"/>
              <w:spacing w:after="0" w:line="240" w:lineRule="auto"/>
              <w:rPr>
                <w:sz w:val="24"/>
                <w:szCs w:val="24"/>
              </w:rPr>
            </w:pPr>
            <w:r>
              <w:rPr>
                <w:rFonts w:ascii="Times New Roman" w:hAnsi="Times New Roman" w:cs="Times New Roman"/>
                <w:b/>
                <w:color w:val="#000000"/>
                <w:sz w:val="24"/>
                <w:szCs w:val="24"/>
              </w:rPr>
              <w:t> нормирование закупок</w:t>
            </w:r>
          </w:p>
        </w:tc>
      </w:tr>
      <w:tr>
        <w:trPr>
          <w:trHeight w:hRule="exact" w:val="1574.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Планирование и обоснование закупок.</w:t>
            </w:r>
          </w:p>
          <w:p>
            <w:pPr>
              <w:jc w:val="both"/>
              <w:spacing w:after="0" w:line="240" w:lineRule="auto"/>
              <w:rPr>
                <w:sz w:val="24"/>
                <w:szCs w:val="24"/>
              </w:rPr>
            </w:pPr>
            <w:r>
              <w:rPr>
                <w:rFonts w:ascii="Times New Roman" w:hAnsi="Times New Roman" w:cs="Times New Roman"/>
                <w:color w:val="#000000"/>
                <w:sz w:val="24"/>
                <w:szCs w:val="24"/>
              </w:rPr>
              <w:t> Понятия начальной (максимальной) цены контракта, цены контракта, заключаемого с</w:t>
            </w:r>
          </w:p>
          <w:p>
            <w:pPr>
              <w:jc w:val="both"/>
              <w:spacing w:after="0" w:line="240" w:lineRule="auto"/>
              <w:rPr>
                <w:sz w:val="24"/>
                <w:szCs w:val="24"/>
              </w:rPr>
            </w:pPr>
            <w:r>
              <w:rPr>
                <w:rFonts w:ascii="Times New Roman" w:hAnsi="Times New Roman" w:cs="Times New Roman"/>
                <w:color w:val="#000000"/>
                <w:sz w:val="24"/>
                <w:szCs w:val="24"/>
              </w:rPr>
              <w:t> единственным поставщиком (подрядчиком,</w:t>
            </w:r>
          </w:p>
          <w:p>
            <w:pPr>
              <w:jc w:val="both"/>
              <w:spacing w:after="0" w:line="240" w:lineRule="auto"/>
              <w:rPr>
                <w:sz w:val="24"/>
                <w:szCs w:val="24"/>
              </w:rPr>
            </w:pPr>
            <w:r>
              <w:rPr>
                <w:rFonts w:ascii="Times New Roman" w:hAnsi="Times New Roman" w:cs="Times New Roman"/>
                <w:color w:val="#000000"/>
                <w:sz w:val="24"/>
                <w:szCs w:val="24"/>
              </w:rPr>
              <w:t> исполнителем), назначение НМЦК, методы</w:t>
            </w:r>
          </w:p>
          <w:p>
            <w:pPr>
              <w:jc w:val="both"/>
              <w:spacing w:after="0" w:line="240" w:lineRule="auto"/>
              <w:rPr>
                <w:sz w:val="24"/>
                <w:szCs w:val="24"/>
              </w:rPr>
            </w:pPr>
            <w:r>
              <w:rPr>
                <w:rFonts w:ascii="Times New Roman" w:hAnsi="Times New Roman" w:cs="Times New Roman"/>
                <w:color w:val="#000000"/>
                <w:sz w:val="24"/>
                <w:szCs w:val="24"/>
              </w:rPr>
              <w:t> обоснования и определения НМЦК и цены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контракта, заключаемого с единственным</w:t>
            </w:r>
          </w:p>
          <w:p>
            <w:pPr>
              <w:jc w:val="both"/>
              <w:spacing w:after="0" w:line="240" w:lineRule="auto"/>
              <w:rPr>
                <w:sz w:val="24"/>
                <w:szCs w:val="24"/>
              </w:rPr>
            </w:pPr>
            <w:r>
              <w:rPr>
                <w:rFonts w:ascii="Times New Roman" w:hAnsi="Times New Roman" w:cs="Times New Roman"/>
                <w:color w:val="#000000"/>
                <w:sz w:val="24"/>
                <w:szCs w:val="24"/>
              </w:rPr>
              <w:t> поставщиком (подрядчиком,</w:t>
            </w:r>
          </w:p>
          <w:p>
            <w:pPr>
              <w:jc w:val="both"/>
              <w:spacing w:after="0" w:line="240" w:lineRule="auto"/>
              <w:rPr>
                <w:sz w:val="24"/>
                <w:szCs w:val="24"/>
              </w:rPr>
            </w:pPr>
            <w:r>
              <w:rPr>
                <w:rFonts w:ascii="Times New Roman" w:hAnsi="Times New Roman" w:cs="Times New Roman"/>
                <w:color w:val="#000000"/>
                <w:sz w:val="24"/>
                <w:szCs w:val="24"/>
              </w:rPr>
              <w:t> исполнителем.</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Осуществление закупок</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Способы определения поставщиков</w:t>
            </w:r>
          </w:p>
          <w:p>
            <w:pPr>
              <w:jc w:val="both"/>
              <w:spacing w:after="0" w:line="240" w:lineRule="auto"/>
              <w:rPr>
                <w:sz w:val="24"/>
                <w:szCs w:val="24"/>
              </w:rPr>
            </w:pPr>
            <w:r>
              <w:rPr>
                <w:rFonts w:ascii="Times New Roman" w:hAnsi="Times New Roman" w:cs="Times New Roman"/>
                <w:color w:val="#000000"/>
                <w:sz w:val="24"/>
                <w:szCs w:val="24"/>
              </w:rPr>
              <w:t> (подрядчиков, исполнителей): общая</w:t>
            </w:r>
          </w:p>
          <w:p>
            <w:pPr>
              <w:jc w:val="both"/>
              <w:spacing w:after="0" w:line="240" w:lineRule="auto"/>
              <w:rPr>
                <w:sz w:val="24"/>
                <w:szCs w:val="24"/>
              </w:rPr>
            </w:pPr>
            <w:r>
              <w:rPr>
                <w:rFonts w:ascii="Times New Roman" w:hAnsi="Times New Roman" w:cs="Times New Roman"/>
                <w:color w:val="#000000"/>
                <w:sz w:val="24"/>
                <w:szCs w:val="24"/>
              </w:rPr>
              <w:t> характеристика способов, основные правила</w:t>
            </w:r>
          </w:p>
          <w:p>
            <w:pPr>
              <w:jc w:val="both"/>
              <w:spacing w:after="0" w:line="240" w:lineRule="auto"/>
              <w:rPr>
                <w:sz w:val="24"/>
                <w:szCs w:val="24"/>
              </w:rPr>
            </w:pPr>
            <w:r>
              <w:rPr>
                <w:rFonts w:ascii="Times New Roman" w:hAnsi="Times New Roman" w:cs="Times New Roman"/>
                <w:color w:val="#000000"/>
                <w:sz w:val="24"/>
                <w:szCs w:val="24"/>
              </w:rPr>
              <w:t> выбора, отмена закупки.Требования к участникам закупки.</w:t>
            </w:r>
          </w:p>
          <w:p>
            <w:pPr>
              <w:jc w:val="both"/>
              <w:spacing w:after="0" w:line="240" w:lineRule="auto"/>
              <w:rPr>
                <w:sz w:val="24"/>
                <w:szCs w:val="24"/>
              </w:rPr>
            </w:pPr>
            <w:r>
              <w:rPr>
                <w:rFonts w:ascii="Times New Roman" w:hAnsi="Times New Roman" w:cs="Times New Roman"/>
                <w:color w:val="#000000"/>
                <w:sz w:val="24"/>
                <w:szCs w:val="24"/>
              </w:rPr>
              <w:t> Антидемпинговые меры при проведении</w:t>
            </w:r>
          </w:p>
          <w:p>
            <w:pPr>
              <w:jc w:val="both"/>
              <w:spacing w:after="0" w:line="240" w:lineRule="auto"/>
              <w:rPr>
                <w:sz w:val="24"/>
                <w:szCs w:val="24"/>
              </w:rPr>
            </w:pPr>
            <w:r>
              <w:rPr>
                <w:rFonts w:ascii="Times New Roman" w:hAnsi="Times New Roman" w:cs="Times New Roman"/>
                <w:color w:val="#000000"/>
                <w:sz w:val="24"/>
                <w:szCs w:val="24"/>
              </w:rPr>
              <w:t> конкурса и аукциона.Правила описания объекта закупки.</w:t>
            </w:r>
          </w:p>
          <w:p>
            <w:pPr>
              <w:jc w:val="both"/>
              <w:spacing w:after="0" w:line="240" w:lineRule="auto"/>
              <w:rPr>
                <w:sz w:val="24"/>
                <w:szCs w:val="24"/>
              </w:rPr>
            </w:pPr>
            <w:r>
              <w:rPr>
                <w:rFonts w:ascii="Times New Roman" w:hAnsi="Times New Roman" w:cs="Times New Roman"/>
                <w:color w:val="#000000"/>
                <w:sz w:val="24"/>
                <w:szCs w:val="24"/>
              </w:rPr>
              <w:t> Порядок составления технического</w:t>
            </w:r>
          </w:p>
          <w:p>
            <w:pPr>
              <w:jc w:val="both"/>
              <w:spacing w:after="0" w:line="240" w:lineRule="auto"/>
              <w:rPr>
                <w:sz w:val="24"/>
                <w:szCs w:val="24"/>
              </w:rPr>
            </w:pPr>
            <w:r>
              <w:rPr>
                <w:rFonts w:ascii="Times New Roman" w:hAnsi="Times New Roman" w:cs="Times New Roman"/>
                <w:color w:val="#000000"/>
                <w:sz w:val="24"/>
                <w:szCs w:val="24"/>
              </w:rPr>
              <w:t> задания. Нормирование в сфере закупок
. Порядок проведения конкурсов, включая</w:t>
            </w:r>
          </w:p>
          <w:p>
            <w:pPr>
              <w:jc w:val="both"/>
              <w:spacing w:after="0" w:line="240" w:lineRule="auto"/>
              <w:rPr>
                <w:sz w:val="24"/>
                <w:szCs w:val="24"/>
              </w:rPr>
            </w:pPr>
            <w:r>
              <w:rPr>
                <w:rFonts w:ascii="Times New Roman" w:hAnsi="Times New Roman" w:cs="Times New Roman"/>
                <w:color w:val="#000000"/>
                <w:sz w:val="24"/>
                <w:szCs w:val="24"/>
              </w:rPr>
              <w:t> конкурсы c ограниченным участием,</w:t>
            </w:r>
          </w:p>
          <w:p>
            <w:pPr>
              <w:jc w:val="both"/>
              <w:spacing w:after="0" w:line="240" w:lineRule="auto"/>
              <w:rPr>
                <w:sz w:val="24"/>
                <w:szCs w:val="24"/>
              </w:rPr>
            </w:pPr>
            <w:r>
              <w:rPr>
                <w:rFonts w:ascii="Times New Roman" w:hAnsi="Times New Roman" w:cs="Times New Roman"/>
                <w:color w:val="#000000"/>
                <w:sz w:val="24"/>
                <w:szCs w:val="24"/>
              </w:rPr>
              <w:t> двухэтапные конкурсы
.Оценка заявок, окончательных</w:t>
            </w:r>
          </w:p>
          <w:p>
            <w:pPr>
              <w:jc w:val="both"/>
              <w:spacing w:after="0" w:line="240" w:lineRule="auto"/>
              <w:rPr>
                <w:sz w:val="24"/>
                <w:szCs w:val="24"/>
              </w:rPr>
            </w:pPr>
            <w:r>
              <w:rPr>
                <w:rFonts w:ascii="Times New Roman" w:hAnsi="Times New Roman" w:cs="Times New Roman"/>
                <w:color w:val="#000000"/>
                <w:sz w:val="24"/>
                <w:szCs w:val="24"/>
              </w:rPr>
              <w:t> предложений участников закупки и</w:t>
            </w:r>
          </w:p>
          <w:p>
            <w:pPr>
              <w:jc w:val="both"/>
              <w:spacing w:after="0" w:line="240" w:lineRule="auto"/>
              <w:rPr>
                <w:sz w:val="24"/>
                <w:szCs w:val="24"/>
              </w:rPr>
            </w:pPr>
            <w:r>
              <w:rPr>
                <w:rFonts w:ascii="Times New Roman" w:hAnsi="Times New Roman" w:cs="Times New Roman"/>
                <w:color w:val="#000000"/>
                <w:sz w:val="24"/>
                <w:szCs w:val="24"/>
              </w:rPr>
              <w:t> критерии этой оценки
.Порядок осуществления закупок путем</w:t>
            </w:r>
          </w:p>
          <w:p>
            <w:pPr>
              <w:jc w:val="both"/>
              <w:spacing w:after="0" w:line="240" w:lineRule="auto"/>
              <w:rPr>
                <w:sz w:val="24"/>
                <w:szCs w:val="24"/>
              </w:rPr>
            </w:pPr>
            <w:r>
              <w:rPr>
                <w:rFonts w:ascii="Times New Roman" w:hAnsi="Times New Roman" w:cs="Times New Roman"/>
                <w:color w:val="#000000"/>
                <w:sz w:val="24"/>
                <w:szCs w:val="24"/>
              </w:rPr>
              <w:t> проведения аукциона,способом запроса котировок, способом запроса предложений
. Осуществление закупки y единственного</w:t>
            </w:r>
          </w:p>
          <w:p>
            <w:pPr>
              <w:jc w:val="both"/>
              <w:spacing w:after="0" w:line="240" w:lineRule="auto"/>
              <w:rPr>
                <w:sz w:val="24"/>
                <w:szCs w:val="24"/>
              </w:rPr>
            </w:pPr>
            <w:r>
              <w:rPr>
                <w:rFonts w:ascii="Times New Roman" w:hAnsi="Times New Roman" w:cs="Times New Roman"/>
                <w:color w:val="#000000"/>
                <w:sz w:val="24"/>
                <w:szCs w:val="24"/>
              </w:rPr>
              <w:t> поставщика (подрядчика, исполнителя. Особенности отдельных видов закупок.</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Контракты</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структура контракта.
 Порядок заключения, исполнения,</w:t>
            </w:r>
          </w:p>
          <w:p>
            <w:pPr>
              <w:jc w:val="both"/>
              <w:spacing w:after="0" w:line="240" w:lineRule="auto"/>
              <w:rPr>
                <w:sz w:val="24"/>
                <w:szCs w:val="24"/>
              </w:rPr>
            </w:pPr>
            <w:r>
              <w:rPr>
                <w:rFonts w:ascii="Times New Roman" w:hAnsi="Times New Roman" w:cs="Times New Roman"/>
                <w:color w:val="#000000"/>
                <w:sz w:val="24"/>
                <w:szCs w:val="24"/>
              </w:rPr>
              <w:t> изменения и расторжения контрактов. Приемка продукции. Экспертиза</w:t>
            </w:r>
          </w:p>
          <w:p>
            <w:pPr>
              <w:jc w:val="both"/>
              <w:spacing w:after="0" w:line="240" w:lineRule="auto"/>
              <w:rPr>
                <w:sz w:val="24"/>
                <w:szCs w:val="24"/>
              </w:rPr>
            </w:pPr>
            <w:r>
              <w:rPr>
                <w:rFonts w:ascii="Times New Roman" w:hAnsi="Times New Roman" w:cs="Times New Roman"/>
                <w:color w:val="#000000"/>
                <w:sz w:val="24"/>
                <w:szCs w:val="24"/>
              </w:rPr>
              <w:t> результатов контракта и привлечение</w:t>
            </w:r>
          </w:p>
          <w:p>
            <w:pPr>
              <w:jc w:val="both"/>
              <w:spacing w:after="0" w:line="240" w:lineRule="auto"/>
              <w:rPr>
                <w:sz w:val="24"/>
                <w:szCs w:val="24"/>
              </w:rPr>
            </w:pPr>
            <w:r>
              <w:rPr>
                <w:rFonts w:ascii="Times New Roman" w:hAnsi="Times New Roman" w:cs="Times New Roman"/>
                <w:color w:val="#000000"/>
                <w:sz w:val="24"/>
                <w:szCs w:val="24"/>
              </w:rPr>
              <w:t> экспертов</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Участники контрактной системы</w:t>
            </w:r>
          </w:p>
        </w:tc>
      </w:tr>
      <w:tr>
        <w:trPr>
          <w:trHeight w:hRule="exact" w:val="21.31518"/>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участников контрактной системы, их права и обязанности</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Система законодательства РФ, регламентирующая</w:t>
            </w:r>
          </w:p>
          <w:p>
            <w:pPr>
              <w:jc w:val="center"/>
              <w:spacing w:after="0" w:line="240" w:lineRule="auto"/>
              <w:rPr>
                <w:sz w:val="24"/>
                <w:szCs w:val="24"/>
              </w:rPr>
            </w:pPr>
            <w:r>
              <w:rPr>
                <w:rFonts w:ascii="Times New Roman" w:hAnsi="Times New Roman" w:cs="Times New Roman"/>
                <w:b/>
                <w:color w:val="#000000"/>
                <w:sz w:val="24"/>
                <w:szCs w:val="24"/>
              </w:rPr>
              <w:t> государственные и муниципальные закупки</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нормативной</w:t>
            </w:r>
          </w:p>
          <w:p>
            <w:pPr>
              <w:jc w:val="left"/>
              <w:spacing w:after="0" w:line="240" w:lineRule="auto"/>
              <w:rPr>
                <w:sz w:val="24"/>
                <w:szCs w:val="24"/>
              </w:rPr>
            </w:pPr>
            <w:r>
              <w:rPr>
                <w:rFonts w:ascii="Times New Roman" w:hAnsi="Times New Roman" w:cs="Times New Roman"/>
                <w:color w:val="#000000"/>
                <w:sz w:val="24"/>
                <w:szCs w:val="24"/>
              </w:rPr>
              <w:t> правовой базы, регламентирующей</w:t>
            </w:r>
          </w:p>
          <w:p>
            <w:pPr>
              <w:jc w:val="left"/>
              <w:spacing w:after="0" w:line="240" w:lineRule="auto"/>
              <w:rPr>
                <w:sz w:val="24"/>
                <w:szCs w:val="24"/>
              </w:rPr>
            </w:pPr>
            <w:r>
              <w:rPr>
                <w:rFonts w:ascii="Times New Roman" w:hAnsi="Times New Roman" w:cs="Times New Roman"/>
                <w:color w:val="#000000"/>
                <w:sz w:val="24"/>
                <w:szCs w:val="24"/>
              </w:rPr>
              <w:t> вопросы закупок товаров, работ,</w:t>
            </w:r>
          </w:p>
          <w:p>
            <w:pPr>
              <w:jc w:val="left"/>
              <w:spacing w:after="0" w:line="240" w:lineRule="auto"/>
              <w:rPr>
                <w:sz w:val="24"/>
                <w:szCs w:val="24"/>
              </w:rPr>
            </w:pPr>
            <w:r>
              <w:rPr>
                <w:rFonts w:ascii="Times New Roman" w:hAnsi="Times New Roman" w:cs="Times New Roman"/>
                <w:color w:val="#000000"/>
                <w:sz w:val="24"/>
                <w:szCs w:val="24"/>
              </w:rPr>
              <w:t> услуг для обеспечения государственных и</w:t>
            </w:r>
          </w:p>
          <w:p>
            <w:pPr>
              <w:jc w:val="left"/>
              <w:spacing w:after="0" w:line="240" w:lineRule="auto"/>
              <w:rPr>
                <w:sz w:val="24"/>
                <w:szCs w:val="24"/>
              </w:rPr>
            </w:pPr>
            <w:r>
              <w:rPr>
                <w:rFonts w:ascii="Times New Roman" w:hAnsi="Times New Roman" w:cs="Times New Roman"/>
                <w:color w:val="#000000"/>
                <w:sz w:val="24"/>
                <w:szCs w:val="24"/>
              </w:rPr>
              <w:t> муниципальных нужд в РФ.</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Назначение начальной (максимальной) цены контракта, методы</w:t>
            </w:r>
          </w:p>
          <w:p>
            <w:pPr>
              <w:jc w:val="center"/>
              <w:spacing w:after="0" w:line="240" w:lineRule="auto"/>
              <w:rPr>
                <w:sz w:val="24"/>
                <w:szCs w:val="24"/>
              </w:rPr>
            </w:pPr>
            <w:r>
              <w:rPr>
                <w:rFonts w:ascii="Times New Roman" w:hAnsi="Times New Roman" w:cs="Times New Roman"/>
                <w:b/>
                <w:color w:val="#000000"/>
                <w:sz w:val="24"/>
                <w:szCs w:val="24"/>
              </w:rPr>
              <w:t> ее обоснования и определения</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назначение НМЦК, методы</w:t>
            </w:r>
          </w:p>
          <w:p>
            <w:pPr>
              <w:jc w:val="left"/>
              <w:spacing w:after="0" w:line="240" w:lineRule="auto"/>
              <w:rPr>
                <w:sz w:val="24"/>
                <w:szCs w:val="24"/>
              </w:rPr>
            </w:pPr>
            <w:r>
              <w:rPr>
                <w:rFonts w:ascii="Times New Roman" w:hAnsi="Times New Roman" w:cs="Times New Roman"/>
                <w:color w:val="#000000"/>
                <w:sz w:val="24"/>
                <w:szCs w:val="24"/>
              </w:rPr>
              <w:t> обоснования и определения НМЦК и цены</w:t>
            </w:r>
          </w:p>
          <w:p>
            <w:pPr>
              <w:jc w:val="left"/>
              <w:spacing w:after="0" w:line="240" w:lineRule="auto"/>
              <w:rPr>
                <w:sz w:val="24"/>
                <w:szCs w:val="24"/>
              </w:rPr>
            </w:pPr>
            <w:r>
              <w:rPr>
                <w:rFonts w:ascii="Times New Roman" w:hAnsi="Times New Roman" w:cs="Times New Roman"/>
                <w:color w:val="#000000"/>
                <w:sz w:val="24"/>
                <w:szCs w:val="24"/>
              </w:rPr>
              <w:t> контракта, заключаемого с единственным</w:t>
            </w:r>
          </w:p>
          <w:p>
            <w:pPr>
              <w:jc w:val="left"/>
              <w:spacing w:after="0" w:line="240" w:lineRule="auto"/>
              <w:rPr>
                <w:sz w:val="24"/>
                <w:szCs w:val="24"/>
              </w:rPr>
            </w:pPr>
            <w:r>
              <w:rPr>
                <w:rFonts w:ascii="Times New Roman" w:hAnsi="Times New Roman" w:cs="Times New Roman"/>
                <w:color w:val="#000000"/>
                <w:sz w:val="24"/>
                <w:szCs w:val="24"/>
              </w:rPr>
              <w:t> поставщиком (подрядчиком,</w:t>
            </w:r>
          </w:p>
          <w:p>
            <w:pPr>
              <w:jc w:val="left"/>
              <w:spacing w:after="0" w:line="240" w:lineRule="auto"/>
              <w:rPr>
                <w:sz w:val="24"/>
                <w:szCs w:val="24"/>
              </w:rPr>
            </w:pPr>
            <w:r>
              <w:rPr>
                <w:rFonts w:ascii="Times New Roman" w:hAnsi="Times New Roman" w:cs="Times New Roman"/>
                <w:color w:val="#000000"/>
                <w:sz w:val="24"/>
                <w:szCs w:val="24"/>
              </w:rPr>
              <w:t> исполнителем.</w:t>
            </w:r>
          </w:p>
        </w:tc>
      </w:tr>
      <w:tr>
        <w:trPr>
          <w:trHeight w:hRule="exact" w:val="8.08571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Способы определения поставщиков</w:t>
            </w:r>
          </w:p>
          <w:p>
            <w:pPr>
              <w:jc w:val="center"/>
              <w:spacing w:after="0" w:line="240" w:lineRule="auto"/>
              <w:rPr>
                <w:sz w:val="24"/>
                <w:szCs w:val="24"/>
              </w:rPr>
            </w:pPr>
            <w:r>
              <w:rPr>
                <w:rFonts w:ascii="Times New Roman" w:hAnsi="Times New Roman" w:cs="Times New Roman"/>
                <w:b/>
                <w:color w:val="#000000"/>
                <w:sz w:val="24"/>
                <w:szCs w:val="24"/>
              </w:rPr>
              <w:t> (подрядчиков, исполнителей)</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Применение национального режима при</w:t>
            </w:r>
          </w:p>
          <w:p>
            <w:pPr>
              <w:jc w:val="left"/>
              <w:spacing w:after="0" w:line="240" w:lineRule="auto"/>
              <w:rPr>
                <w:sz w:val="24"/>
                <w:szCs w:val="24"/>
              </w:rPr>
            </w:pPr>
            <w:r>
              <w:rPr>
                <w:rFonts w:ascii="Times New Roman" w:hAnsi="Times New Roman" w:cs="Times New Roman"/>
                <w:color w:val="#000000"/>
                <w:sz w:val="24"/>
                <w:szCs w:val="24"/>
              </w:rPr>
              <w:t> осуществлении закупок. Импортозамещение. Общие правила проведения</w:t>
            </w:r>
          </w:p>
          <w:p>
            <w:pPr>
              <w:jc w:val="left"/>
              <w:spacing w:after="0" w:line="240" w:lineRule="auto"/>
              <w:rPr>
                <w:sz w:val="24"/>
                <w:szCs w:val="24"/>
              </w:rPr>
            </w:pPr>
            <w:r>
              <w:rPr>
                <w:rFonts w:ascii="Times New Roman" w:hAnsi="Times New Roman" w:cs="Times New Roman"/>
                <w:color w:val="#000000"/>
                <w:sz w:val="24"/>
                <w:szCs w:val="24"/>
              </w:rPr>
              <w:t> электронных процедур закупок.Способы определения поставщиков</w:t>
            </w:r>
          </w:p>
          <w:p>
            <w:pPr>
              <w:jc w:val="left"/>
              <w:spacing w:after="0" w:line="240" w:lineRule="auto"/>
              <w:rPr>
                <w:sz w:val="24"/>
                <w:szCs w:val="24"/>
              </w:rPr>
            </w:pPr>
            <w:r>
              <w:rPr>
                <w:rFonts w:ascii="Times New Roman" w:hAnsi="Times New Roman" w:cs="Times New Roman"/>
                <w:color w:val="#000000"/>
                <w:sz w:val="24"/>
                <w:szCs w:val="24"/>
              </w:rPr>
              <w:t> (подрядчиков, исполнителей): общая</w:t>
            </w:r>
          </w:p>
          <w:p>
            <w:pPr>
              <w:jc w:val="left"/>
              <w:spacing w:after="0" w:line="240" w:lineRule="auto"/>
              <w:rPr>
                <w:sz w:val="24"/>
                <w:szCs w:val="24"/>
              </w:rPr>
            </w:pPr>
            <w:r>
              <w:rPr>
                <w:rFonts w:ascii="Times New Roman" w:hAnsi="Times New Roman" w:cs="Times New Roman"/>
                <w:color w:val="#000000"/>
                <w:sz w:val="24"/>
                <w:szCs w:val="24"/>
              </w:rPr>
              <w:t> характеристика способов, основные правила</w:t>
            </w:r>
          </w:p>
          <w:p>
            <w:pPr>
              <w:jc w:val="left"/>
              <w:spacing w:after="0" w:line="240" w:lineRule="auto"/>
              <w:rPr>
                <w:sz w:val="24"/>
                <w:szCs w:val="24"/>
              </w:rPr>
            </w:pPr>
            <w:r>
              <w:rPr>
                <w:rFonts w:ascii="Times New Roman" w:hAnsi="Times New Roman" w:cs="Times New Roman"/>
                <w:color w:val="#000000"/>
                <w:sz w:val="24"/>
                <w:szCs w:val="24"/>
              </w:rPr>
              <w:t> выбора, отмена закупки.Требования к участникам закупки.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отдельных видов закупок</w:t>
            </w:r>
          </w:p>
        </w:tc>
      </w:tr>
      <w:tr>
        <w:trPr>
          <w:trHeight w:hRule="exact" w:val="21.31518"/>
        </w:trPr>
        <w:tc>
          <w:tcPr>
            <w:tcW w:w="9640" w:type="dxa"/>
          </w:tcPr>
          <w:p/>
        </w:tc>
      </w:tr>
      <w:tr>
        <w:trPr>
          <w:trHeight w:hRule="exact" w:val="1076.18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закупок, осуществляемых</w:t>
            </w:r>
          </w:p>
          <w:p>
            <w:pPr>
              <w:jc w:val="left"/>
              <w:spacing w:after="0" w:line="240" w:lineRule="auto"/>
              <w:rPr>
                <w:sz w:val="24"/>
                <w:szCs w:val="24"/>
              </w:rPr>
            </w:pPr>
            <w:r>
              <w:rPr>
                <w:rFonts w:ascii="Times New Roman" w:hAnsi="Times New Roman" w:cs="Times New Roman"/>
                <w:color w:val="#000000"/>
                <w:sz w:val="24"/>
                <w:szCs w:val="24"/>
              </w:rPr>
              <w:t> бюджетным, автономным учреждениями,</w:t>
            </w:r>
          </w:p>
          <w:p>
            <w:pPr>
              <w:jc w:val="left"/>
              <w:spacing w:after="0" w:line="240" w:lineRule="auto"/>
              <w:rPr>
                <w:sz w:val="24"/>
                <w:szCs w:val="24"/>
              </w:rPr>
            </w:pPr>
            <w:r>
              <w:rPr>
                <w:rFonts w:ascii="Times New Roman" w:hAnsi="Times New Roman" w:cs="Times New Roman"/>
                <w:color w:val="#000000"/>
                <w:sz w:val="24"/>
                <w:szCs w:val="24"/>
              </w:rPr>
              <w:t> государственными, муниципальными,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937.31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унитарными предприятиями и иными</w:t>
            </w:r>
          </w:p>
          <w:p>
            <w:pPr>
              <w:jc w:val="left"/>
              <w:spacing w:after="0" w:line="240" w:lineRule="auto"/>
              <w:rPr>
                <w:sz w:val="24"/>
                <w:szCs w:val="24"/>
              </w:rPr>
            </w:pPr>
            <w:r>
              <w:rPr>
                <w:rFonts w:ascii="Times New Roman" w:hAnsi="Times New Roman" w:cs="Times New Roman"/>
                <w:color w:val="#000000"/>
                <w:sz w:val="24"/>
                <w:szCs w:val="24"/>
              </w:rPr>
              <w:t> юридическими лицами. Отличительные особенности закупок в</w:t>
            </w:r>
          </w:p>
          <w:p>
            <w:pPr>
              <w:jc w:val="left"/>
              <w:spacing w:after="0" w:line="240" w:lineRule="auto"/>
              <w:rPr>
                <w:sz w:val="24"/>
                <w:szCs w:val="24"/>
              </w:rPr>
            </w:pPr>
            <w:r>
              <w:rPr>
                <w:rFonts w:ascii="Times New Roman" w:hAnsi="Times New Roman" w:cs="Times New Roman"/>
                <w:color w:val="#000000"/>
                <w:sz w:val="24"/>
                <w:szCs w:val="24"/>
              </w:rPr>
              <w:t> Отличительные особенности закупок в соответствии с Федеральным законом от</w:t>
            </w:r>
          </w:p>
          <w:p>
            <w:pPr>
              <w:jc w:val="left"/>
              <w:spacing w:after="0" w:line="240" w:lineRule="auto"/>
              <w:rPr>
                <w:sz w:val="24"/>
                <w:szCs w:val="24"/>
              </w:rPr>
            </w:pPr>
            <w:r>
              <w:rPr>
                <w:rFonts w:ascii="Times New Roman" w:hAnsi="Times New Roman" w:cs="Times New Roman"/>
                <w:color w:val="#000000"/>
                <w:sz w:val="24"/>
                <w:szCs w:val="24"/>
              </w:rPr>
              <w:t> 18.07.2011 №223-ФЗ.</w:t>
            </w:r>
          </w:p>
          <w:p>
            <w:pPr>
              <w:jc w:val="left"/>
              <w:spacing w:after="0" w:line="240" w:lineRule="auto"/>
              <w:rPr>
                <w:sz w:val="24"/>
                <w:szCs w:val="24"/>
              </w:rPr>
            </w:pPr>
            <w:r>
              <w:rPr>
                <w:rFonts w:ascii="Times New Roman" w:hAnsi="Times New Roman" w:cs="Times New Roman"/>
                <w:color w:val="#000000"/>
                <w:sz w:val="24"/>
                <w:szCs w:val="24"/>
              </w:rPr>
              <w:t> Порядок применения преференций,</w:t>
            </w:r>
          </w:p>
          <w:p>
            <w:pPr>
              <w:jc w:val="left"/>
              <w:spacing w:after="0" w:line="240" w:lineRule="auto"/>
              <w:rPr>
                <w:sz w:val="24"/>
                <w:szCs w:val="24"/>
              </w:rPr>
            </w:pPr>
            <w:r>
              <w:rPr>
                <w:rFonts w:ascii="Times New Roman" w:hAnsi="Times New Roman" w:cs="Times New Roman"/>
                <w:color w:val="#000000"/>
                <w:sz w:val="24"/>
                <w:szCs w:val="24"/>
              </w:rPr>
              <w:t> установленных отдельным категориям участников</w:t>
            </w:r>
          </w:p>
          <w:p>
            <w:pPr>
              <w:jc w:val="left"/>
              <w:spacing w:after="0" w:line="240" w:lineRule="auto"/>
              <w:rPr>
                <w:sz w:val="24"/>
                <w:szCs w:val="24"/>
              </w:rPr>
            </w:pPr>
            <w:r>
              <w:rPr>
                <w:rFonts w:ascii="Times New Roman" w:hAnsi="Times New Roman" w:cs="Times New Roman"/>
                <w:color w:val="#000000"/>
                <w:sz w:val="24"/>
                <w:szCs w:val="24"/>
              </w:rPr>
              <w:t> закупок</w:t>
            </w:r>
          </w:p>
        </w:tc>
      </w:tr>
      <w:tr>
        <w:trPr>
          <w:trHeight w:hRule="exact" w:val="8.085045"/>
        </w:trPr>
        <w:tc>
          <w:tcPr>
            <w:tcW w:w="285" w:type="dxa"/>
          </w:tcPr>
          <w:p/>
        </w:tc>
        <w:tc>
          <w:tcPr>
            <w:tcW w:w="9356" w:type="dxa"/>
          </w:tcPr>
          <w:p/>
        </w:tc>
      </w:tr>
      <w:tr>
        <w:trPr>
          <w:trHeight w:hRule="exact" w:val="585.0601"/>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Порядок заключения, исполнения,</w:t>
            </w:r>
          </w:p>
          <w:p>
            <w:pPr>
              <w:jc w:val="center"/>
              <w:spacing w:after="0" w:line="240" w:lineRule="auto"/>
              <w:rPr>
                <w:sz w:val="24"/>
                <w:szCs w:val="24"/>
              </w:rPr>
            </w:pPr>
            <w:r>
              <w:rPr>
                <w:rFonts w:ascii="Times New Roman" w:hAnsi="Times New Roman" w:cs="Times New Roman"/>
                <w:b/>
                <w:color w:val="#000000"/>
                <w:sz w:val="24"/>
                <w:szCs w:val="24"/>
              </w:rPr>
              <w:t> изменения и расторжения контрактов.</w:t>
            </w:r>
          </w:p>
        </w:tc>
      </w:tr>
      <w:tr>
        <w:trPr>
          <w:trHeight w:hRule="exact" w:val="21.31495"/>
        </w:trPr>
        <w:tc>
          <w:tcPr>
            <w:tcW w:w="285" w:type="dxa"/>
          </w:tcPr>
          <w:p/>
        </w:tc>
        <w:tc>
          <w:tcPr>
            <w:tcW w:w="9356" w:type="dxa"/>
          </w:tcP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Порядок заключения, исполнения,</w:t>
            </w:r>
          </w:p>
          <w:p>
            <w:pPr>
              <w:jc w:val="left"/>
              <w:spacing w:after="0" w:line="240" w:lineRule="auto"/>
              <w:rPr>
                <w:sz w:val="24"/>
                <w:szCs w:val="24"/>
              </w:rPr>
            </w:pPr>
            <w:r>
              <w:rPr>
                <w:rFonts w:ascii="Times New Roman" w:hAnsi="Times New Roman" w:cs="Times New Roman"/>
                <w:color w:val="#000000"/>
                <w:sz w:val="24"/>
                <w:szCs w:val="24"/>
              </w:rPr>
              <w:t> изменения и расторжения контрактов по результатам закупки отдельных товаров, работ и</w:t>
            </w:r>
          </w:p>
          <w:p>
            <w:pPr>
              <w:jc w:val="left"/>
              <w:spacing w:after="0" w:line="240" w:lineRule="auto"/>
              <w:rPr>
                <w:sz w:val="24"/>
                <w:szCs w:val="24"/>
              </w:rPr>
            </w:pPr>
            <w:r>
              <w:rPr>
                <w:rFonts w:ascii="Times New Roman" w:hAnsi="Times New Roman" w:cs="Times New Roman"/>
                <w:color w:val="#000000"/>
                <w:sz w:val="24"/>
                <w:szCs w:val="24"/>
              </w:rPr>
              <w:t> услуг</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«Управление государственными и муниципальными закупками» / Кузнецова Е.К..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государственными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муниципальными</w:t>
            </w:r>
            <w:r>
              <w:rPr/>
              <w:t xml:space="preserve"> </w:t>
            </w:r>
            <w:r>
              <w:rPr>
                <w:rFonts w:ascii="Times New Roman" w:hAnsi="Times New Roman" w:cs="Times New Roman"/>
                <w:color w:val="#000000"/>
                <w:sz w:val="24"/>
                <w:szCs w:val="24"/>
              </w:rPr>
              <w:t>закупками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Еремин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Галкин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Прокофьев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978-5-534-10226-0.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https://urait.ru/bcode/456384</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государственными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муниципальными</w:t>
            </w:r>
            <w:r>
              <w:rPr/>
              <w:t xml:space="preserve"> </w:t>
            </w:r>
            <w:r>
              <w:rPr>
                <w:rFonts w:ascii="Times New Roman" w:hAnsi="Times New Roman" w:cs="Times New Roman"/>
                <w:color w:val="#000000"/>
                <w:sz w:val="24"/>
                <w:szCs w:val="24"/>
              </w:rPr>
              <w:t>закупками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контрактами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Кнутов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978-5-534-04912-1.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https://urait.ru/bcode/454105</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контракт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гражданском</w:t>
            </w:r>
            <w:r>
              <w:rPr/>
              <w:t xml:space="preserve"> </w:t>
            </w:r>
            <w:r>
              <w:rPr>
                <w:rFonts w:ascii="Times New Roman" w:hAnsi="Times New Roman" w:cs="Times New Roman"/>
                <w:color w:val="#000000"/>
                <w:sz w:val="24"/>
                <w:szCs w:val="24"/>
              </w:rPr>
              <w:t>праве</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проблемы</w:t>
            </w:r>
            <w:r>
              <w:rPr/>
              <w:t xml:space="preserve"> </w:t>
            </w:r>
            <w:r>
              <w:rPr>
                <w:rFonts w:ascii="Times New Roman" w:hAnsi="Times New Roman" w:cs="Times New Roman"/>
                <w:color w:val="#000000"/>
                <w:sz w:val="24"/>
                <w:szCs w:val="24"/>
              </w:rPr>
              <w:t>теории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практики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Цатурян,</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контракт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гражданском</w:t>
            </w:r>
            <w:r>
              <w:rPr/>
              <w:t xml:space="preserve"> </w:t>
            </w:r>
            <w:r>
              <w:rPr>
                <w:rFonts w:ascii="Times New Roman" w:hAnsi="Times New Roman" w:cs="Times New Roman"/>
                <w:color w:val="#000000"/>
                <w:sz w:val="24"/>
                <w:szCs w:val="24"/>
              </w:rPr>
              <w:t>праве</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проблемы</w:t>
            </w:r>
            <w:r>
              <w:rPr/>
              <w:t xml:space="preserve"> </w:t>
            </w:r>
            <w:r>
              <w:rPr>
                <w:rFonts w:ascii="Times New Roman" w:hAnsi="Times New Roman" w:cs="Times New Roman"/>
                <w:color w:val="#000000"/>
                <w:sz w:val="24"/>
                <w:szCs w:val="24"/>
              </w:rPr>
              <w:t>теории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практики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Статут,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978-5-8354-1625-7.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http://www.iprbookshop.ru/98296.html</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механизм</w:t>
            </w:r>
            <w:r>
              <w:rPr/>
              <w:t xml:space="preserve"> </w:t>
            </w:r>
            <w:r>
              <w:rPr>
                <w:rFonts w:ascii="Times New Roman" w:hAnsi="Times New Roman" w:cs="Times New Roman"/>
                <w:color w:val="#000000"/>
                <w:sz w:val="24"/>
                <w:szCs w:val="24"/>
              </w:rPr>
              <w:t>государственных</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муниципальных</w:t>
            </w:r>
            <w:r>
              <w:rPr/>
              <w:t xml:space="preserve"> </w:t>
            </w:r>
            <w:r>
              <w:rPr>
                <w:rFonts w:ascii="Times New Roman" w:hAnsi="Times New Roman" w:cs="Times New Roman"/>
                <w:color w:val="#000000"/>
                <w:sz w:val="24"/>
                <w:szCs w:val="24"/>
              </w:rPr>
              <w:t>закупок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Федорова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Фрыгин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978-5-534-10877-4.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https://urait.ru/bcode/451424</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13.911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596.43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18.9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85.91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317.0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7211.96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996.5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2023-2024_ФГОС3++2023_Бак-ЗФО-ГМУ(ПО)(23)_plx_Управление государственными и муниципальными закупками</dc:title>
  <dc:creator>FastReport.NET</dc:creator>
</cp:coreProperties>
</file>